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297B" w14:textId="77777777" w:rsidR="005D1D12" w:rsidRPr="005D1D12" w:rsidRDefault="005D1D12" w:rsidP="005D1D12">
      <w:pPr>
        <w:shd w:val="clear" w:color="auto" w:fill="FFFFFF"/>
        <w:spacing w:after="0" w:line="240" w:lineRule="atLeast"/>
        <w:jc w:val="center"/>
        <w:textAlignment w:val="baseline"/>
        <w:outlineLvl w:val="0"/>
        <w:rPr>
          <w:rFonts w:ascii="Amiri" w:eastAsia="Times New Roman" w:hAnsi="Amiri" w:cs="Times New Roman"/>
          <w:color w:val="000000"/>
          <w:kern w:val="36"/>
          <w:sz w:val="96"/>
          <w:szCs w:val="96"/>
          <w:lang w:eastAsia="nl-NL"/>
          <w14:ligatures w14:val="none"/>
        </w:rPr>
      </w:pPr>
      <w:r w:rsidRPr="005D1D12">
        <w:rPr>
          <w:rFonts w:ascii="Amiri" w:eastAsia="Times New Roman" w:hAnsi="Amiri" w:cs="Times New Roman"/>
          <w:color w:val="000000"/>
          <w:kern w:val="36"/>
          <w:sz w:val="96"/>
          <w:szCs w:val="96"/>
          <w:bdr w:val="none" w:sz="0" w:space="0" w:color="auto" w:frame="1"/>
          <w:lang w:eastAsia="nl-NL"/>
          <w14:ligatures w14:val="none"/>
        </w:rPr>
        <w:t xml:space="preserve">La Ferme de la </w:t>
      </w:r>
      <w:proofErr w:type="spellStart"/>
      <w:r w:rsidRPr="005D1D12">
        <w:rPr>
          <w:rFonts w:ascii="Amiri" w:eastAsia="Times New Roman" w:hAnsi="Amiri" w:cs="Times New Roman"/>
          <w:color w:val="000000"/>
          <w:kern w:val="36"/>
          <w:sz w:val="96"/>
          <w:szCs w:val="96"/>
          <w:bdr w:val="none" w:sz="0" w:space="0" w:color="auto" w:frame="1"/>
          <w:lang w:eastAsia="nl-NL"/>
          <w14:ligatures w14:val="none"/>
        </w:rPr>
        <w:t>Sansonnière</w:t>
      </w:r>
      <w:proofErr w:type="spellEnd"/>
    </w:p>
    <w:p w14:paraId="650C037C" w14:textId="0277209A" w:rsidR="005D1D12" w:rsidRPr="005D1D12" w:rsidRDefault="005D1D12" w:rsidP="005D1D12">
      <w:pPr>
        <w:spacing w:after="0" w:line="240" w:lineRule="auto"/>
        <w:textAlignment w:val="baseline"/>
        <w:rPr>
          <w:rFonts w:ascii="Lato" w:eastAsia="Times New Roman" w:hAnsi="Lato" w:cs="Times New Roman"/>
          <w:color w:val="000000"/>
          <w:kern w:val="0"/>
          <w:sz w:val="36"/>
          <w:szCs w:val="36"/>
          <w:lang w:eastAsia="nl-NL"/>
          <w14:ligatures w14:val="none"/>
        </w:rPr>
      </w:pPr>
      <w:r w:rsidRPr="005D1D12">
        <w:rPr>
          <w:rFonts w:ascii="Lato" w:eastAsia="Times New Roman" w:hAnsi="Lato" w:cs="Times New Roman"/>
          <w:noProof/>
          <w:color w:val="000000"/>
          <w:kern w:val="0"/>
          <w:sz w:val="36"/>
          <w:szCs w:val="36"/>
          <w:lang w:eastAsia="nl-NL"/>
          <w14:ligatures w14:val="none"/>
        </w:rPr>
        <w:drawing>
          <wp:inline distT="0" distB="0" distL="0" distR="0" wp14:anchorId="273A6602" wp14:editId="70337E09">
            <wp:extent cx="5760720" cy="2880360"/>
            <wp:effectExtent l="0" t="0" r="0" b="0"/>
            <wp:docPr id="10309386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18EEA7E8" w14:textId="77777777" w:rsidR="005D1D12" w:rsidRPr="005D1D12" w:rsidRDefault="005D1D12" w:rsidP="005D1D12">
      <w:pPr>
        <w:spacing w:line="240" w:lineRule="auto"/>
        <w:jc w:val="center"/>
        <w:textAlignment w:val="baseline"/>
        <w:rPr>
          <w:rFonts w:ascii="Lato" w:eastAsia="Times New Roman" w:hAnsi="Lato" w:cs="Times New Roman"/>
          <w:color w:val="000000"/>
          <w:kern w:val="0"/>
          <w:sz w:val="36"/>
          <w:szCs w:val="36"/>
          <w:lang w:val="fr-FR" w:eastAsia="nl-NL"/>
          <w14:ligatures w14:val="none"/>
        </w:rPr>
      </w:pPr>
      <w:r w:rsidRPr="005D1D12">
        <w:rPr>
          <w:rFonts w:ascii="Lato" w:eastAsia="Times New Roman" w:hAnsi="Lato" w:cs="Times New Roman"/>
          <w:color w:val="000000"/>
          <w:kern w:val="0"/>
          <w:sz w:val="36"/>
          <w:szCs w:val="36"/>
          <w:lang w:val="fr-FR" w:eastAsia="nl-NL"/>
          <w14:ligatures w14:val="none"/>
        </w:rPr>
        <w:t xml:space="preserve">Le vigneron Mark </w:t>
      </w:r>
      <w:proofErr w:type="spellStart"/>
      <w:r w:rsidRPr="005D1D12">
        <w:rPr>
          <w:rFonts w:ascii="Lato" w:eastAsia="Times New Roman" w:hAnsi="Lato" w:cs="Times New Roman"/>
          <w:color w:val="000000"/>
          <w:kern w:val="0"/>
          <w:sz w:val="36"/>
          <w:szCs w:val="36"/>
          <w:lang w:val="fr-FR" w:eastAsia="nl-NL"/>
          <w14:ligatures w14:val="none"/>
        </w:rPr>
        <w:t>Angeli</w:t>
      </w:r>
      <w:proofErr w:type="spellEnd"/>
      <w:r w:rsidRPr="005D1D12">
        <w:rPr>
          <w:rFonts w:ascii="Lato" w:eastAsia="Times New Roman" w:hAnsi="Lato" w:cs="Times New Roman"/>
          <w:color w:val="000000"/>
          <w:kern w:val="0"/>
          <w:sz w:val="36"/>
          <w:szCs w:val="36"/>
          <w:lang w:val="fr-FR" w:eastAsia="nl-NL"/>
          <w14:ligatures w14:val="none"/>
        </w:rPr>
        <w:t xml:space="preserve"> dans les vignes du domaine La Ferme de la </w:t>
      </w:r>
      <w:proofErr w:type="spellStart"/>
      <w:r w:rsidRPr="005D1D12">
        <w:rPr>
          <w:rFonts w:ascii="Lato" w:eastAsia="Times New Roman" w:hAnsi="Lato" w:cs="Times New Roman"/>
          <w:color w:val="000000"/>
          <w:kern w:val="0"/>
          <w:sz w:val="36"/>
          <w:szCs w:val="36"/>
          <w:lang w:val="fr-FR" w:eastAsia="nl-NL"/>
          <w14:ligatures w14:val="none"/>
        </w:rPr>
        <w:t>Sansonnière</w:t>
      </w:r>
      <w:proofErr w:type="spellEnd"/>
      <w:r w:rsidRPr="005D1D12">
        <w:rPr>
          <w:rFonts w:ascii="Lato" w:eastAsia="Times New Roman" w:hAnsi="Lato" w:cs="Times New Roman"/>
          <w:color w:val="000000"/>
          <w:kern w:val="0"/>
          <w:sz w:val="36"/>
          <w:szCs w:val="36"/>
          <w:lang w:val="fr-FR" w:eastAsia="nl-NL"/>
          <w14:ligatures w14:val="none"/>
        </w:rPr>
        <w:t>, en Anjou.</w:t>
      </w:r>
    </w:p>
    <w:p w14:paraId="16AC2C6D" w14:textId="77777777" w:rsidR="005D1D12" w:rsidRPr="005D1D12" w:rsidRDefault="005D1D12" w:rsidP="005D1D12">
      <w:pPr>
        <w:shd w:val="clear" w:color="auto" w:fill="FFFFFF"/>
        <w:spacing w:line="312" w:lineRule="atLeast"/>
        <w:textAlignment w:val="baseline"/>
        <w:rPr>
          <w:rFonts w:ascii="inherit" w:eastAsia="Times New Roman" w:hAnsi="inherit" w:cs="Times New Roman"/>
          <w:color w:val="000000"/>
          <w:kern w:val="0"/>
          <w:sz w:val="36"/>
          <w:szCs w:val="36"/>
          <w:lang w:val="fr-FR" w:eastAsia="nl-NL"/>
          <w14:ligatures w14:val="none"/>
        </w:rPr>
      </w:pPr>
      <w:r w:rsidRPr="005D1D12">
        <w:rPr>
          <w:rFonts w:ascii="inherit" w:eastAsia="Times New Roman" w:hAnsi="inherit" w:cs="Times New Roman"/>
          <w:color w:val="000000"/>
          <w:kern w:val="0"/>
          <w:sz w:val="36"/>
          <w:szCs w:val="36"/>
          <w:lang w:val="fr-FR" w:eastAsia="nl-NL"/>
          <w14:ligatures w14:val="none"/>
        </w:rPr>
        <w:t>Région </w:t>
      </w:r>
      <w:hyperlink r:id="rId6" w:tgtFrame="_self" w:history="1">
        <w:r w:rsidRPr="005D1D12">
          <w:rPr>
            <w:rFonts w:ascii="inherit" w:eastAsia="Times New Roman" w:hAnsi="inherit" w:cs="Times New Roman"/>
            <w:b/>
            <w:bCs/>
            <w:color w:val="C20016"/>
            <w:kern w:val="0"/>
            <w:sz w:val="36"/>
            <w:szCs w:val="36"/>
            <w:u w:val="single"/>
            <w:bdr w:val="none" w:sz="0" w:space="0" w:color="auto" w:frame="1"/>
            <w:lang w:val="fr-FR" w:eastAsia="nl-NL"/>
            <w14:ligatures w14:val="none"/>
          </w:rPr>
          <w:t>Vallée de la Loire et Centre</w:t>
        </w:r>
      </w:hyperlink>
    </w:p>
    <w:p w14:paraId="66310D77" w14:textId="77777777" w:rsidR="005D1D12" w:rsidRPr="005D1D12" w:rsidRDefault="005D1D12" w:rsidP="005D1D12">
      <w:pPr>
        <w:shd w:val="clear" w:color="auto" w:fill="FFFFFF"/>
        <w:spacing w:line="312" w:lineRule="atLeast"/>
        <w:textAlignment w:val="baseline"/>
        <w:rPr>
          <w:rFonts w:ascii="inherit" w:eastAsia="Times New Roman" w:hAnsi="inherit" w:cs="Times New Roman"/>
          <w:color w:val="000000"/>
          <w:kern w:val="0"/>
          <w:sz w:val="36"/>
          <w:szCs w:val="36"/>
          <w:lang w:val="fr-FR" w:eastAsia="nl-NL"/>
          <w14:ligatures w14:val="none"/>
        </w:rPr>
      </w:pPr>
      <w:r w:rsidRPr="005D1D12">
        <w:rPr>
          <w:rFonts w:ascii="inherit" w:eastAsia="Times New Roman" w:hAnsi="inherit" w:cs="Times New Roman"/>
          <w:color w:val="000000"/>
          <w:kern w:val="0"/>
          <w:sz w:val="36"/>
          <w:szCs w:val="36"/>
          <w:lang w:val="fr-FR" w:eastAsia="nl-NL"/>
          <w14:ligatures w14:val="none"/>
        </w:rPr>
        <w:t>Sous-région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Anjou-Saumur</w:t>
      </w:r>
    </w:p>
    <w:p w14:paraId="02DE6D18" w14:textId="77777777" w:rsidR="005D1D12" w:rsidRPr="005D1D12" w:rsidRDefault="005D1D12" w:rsidP="005D1D12">
      <w:pPr>
        <w:shd w:val="clear" w:color="auto" w:fill="FFFFFF"/>
        <w:spacing w:line="312" w:lineRule="atLeast"/>
        <w:textAlignment w:val="baseline"/>
        <w:rPr>
          <w:rFonts w:ascii="inherit" w:eastAsia="Times New Roman" w:hAnsi="inherit" w:cs="Times New Roman"/>
          <w:color w:val="000000"/>
          <w:kern w:val="0"/>
          <w:sz w:val="36"/>
          <w:szCs w:val="36"/>
          <w:lang w:val="fr-FR" w:eastAsia="nl-NL"/>
          <w14:ligatures w14:val="none"/>
        </w:rPr>
      </w:pPr>
      <w:r w:rsidRPr="005D1D12">
        <w:rPr>
          <w:rFonts w:ascii="inherit" w:eastAsia="Times New Roman" w:hAnsi="inherit" w:cs="Times New Roman"/>
          <w:color w:val="000000"/>
          <w:kern w:val="0"/>
          <w:sz w:val="36"/>
          <w:szCs w:val="36"/>
          <w:lang w:val="fr-FR" w:eastAsia="nl-NL"/>
          <w14:ligatures w14:val="none"/>
        </w:rPr>
        <w:t>Propriétaire </w:t>
      </w:r>
      <w:r w:rsidRPr="005D1D12">
        <w:rPr>
          <w:rFonts w:ascii="inherit" w:eastAsia="Times New Roman" w:hAnsi="inherit" w:cs="Times New Roman"/>
          <w:color w:val="000000"/>
          <w:kern w:val="0"/>
          <w:sz w:val="36"/>
          <w:szCs w:val="36"/>
          <w:bdr w:val="none" w:sz="0" w:space="0" w:color="auto" w:frame="1"/>
          <w:lang w:val="fr-FR" w:eastAsia="nl-NL"/>
          <w14:ligatures w14:val="none"/>
        </w:rPr>
        <w:t xml:space="preserve">Mark et Martial </w:t>
      </w:r>
      <w:proofErr w:type="spellStart"/>
      <w:r w:rsidRPr="005D1D12">
        <w:rPr>
          <w:rFonts w:ascii="inherit" w:eastAsia="Times New Roman" w:hAnsi="inherit" w:cs="Times New Roman"/>
          <w:color w:val="000000"/>
          <w:kern w:val="0"/>
          <w:sz w:val="36"/>
          <w:szCs w:val="36"/>
          <w:bdr w:val="none" w:sz="0" w:space="0" w:color="auto" w:frame="1"/>
          <w:lang w:val="fr-FR" w:eastAsia="nl-NL"/>
          <w14:ligatures w14:val="none"/>
        </w:rPr>
        <w:t>Angeli</w:t>
      </w:r>
      <w:proofErr w:type="spellEnd"/>
    </w:p>
    <w:p w14:paraId="2A0BE38C" w14:textId="77777777" w:rsidR="005D1D12" w:rsidRPr="005D1D12" w:rsidRDefault="005D1D12" w:rsidP="005D1D12">
      <w:pPr>
        <w:shd w:val="clear" w:color="auto" w:fill="FFFFFF"/>
        <w:spacing w:after="0" w:line="312" w:lineRule="atLeast"/>
        <w:textAlignment w:val="baseline"/>
        <w:rPr>
          <w:rFonts w:ascii="inherit" w:eastAsia="Times New Roman" w:hAnsi="inherit" w:cs="Times New Roman"/>
          <w:color w:val="000000"/>
          <w:kern w:val="0"/>
          <w:sz w:val="36"/>
          <w:szCs w:val="36"/>
          <w:lang w:val="fr-FR" w:eastAsia="nl-NL"/>
          <w14:ligatures w14:val="none"/>
        </w:rPr>
      </w:pPr>
      <w:r w:rsidRPr="005D1D12">
        <w:rPr>
          <w:rFonts w:ascii="inherit" w:eastAsia="Times New Roman" w:hAnsi="inherit" w:cs="Times New Roman"/>
          <w:color w:val="000000"/>
          <w:kern w:val="0"/>
          <w:sz w:val="36"/>
          <w:szCs w:val="36"/>
          <w:lang w:val="fr-FR" w:eastAsia="nl-NL"/>
          <w14:ligatures w14:val="none"/>
        </w:rPr>
        <w:t>Guide Vert </w:t>
      </w:r>
      <w:r w:rsidRPr="005D1D12">
        <w:rPr>
          <w:rFonts w:ascii="inherit" w:eastAsia="Times New Roman" w:hAnsi="inherit" w:cs="Times New Roman"/>
          <w:i/>
          <w:iCs/>
          <w:color w:val="000000"/>
          <w:kern w:val="0"/>
          <w:sz w:val="36"/>
          <w:szCs w:val="36"/>
          <w:bdr w:val="none" w:sz="0" w:space="0" w:color="auto" w:frame="1"/>
          <w:lang w:val="fr-FR" w:eastAsia="nl-NL"/>
          <w14:ligatures w14:val="none"/>
        </w:rPr>
        <w:t>***</w:t>
      </w:r>
      <w:r w:rsidRPr="005D1D12">
        <w:rPr>
          <w:rFonts w:ascii="inherit" w:eastAsia="Times New Roman" w:hAnsi="inherit" w:cs="Times New Roman"/>
          <w:color w:val="000000"/>
          <w:kern w:val="0"/>
          <w:sz w:val="36"/>
          <w:szCs w:val="36"/>
          <w:bdr w:val="none" w:sz="0" w:space="0" w:color="auto" w:frame="1"/>
          <w:lang w:val="fr-FR" w:eastAsia="nl-NL"/>
          <w14:ligatures w14:val="none"/>
        </w:rPr>
        <w:t> 2024</w:t>
      </w:r>
    </w:p>
    <w:p w14:paraId="252543AF" w14:textId="77777777" w:rsidR="005D1D12" w:rsidRPr="005D1D12" w:rsidRDefault="005D1D12" w:rsidP="005D1D12">
      <w:pPr>
        <w:shd w:val="clear" w:color="auto" w:fill="FFFFFF"/>
        <w:spacing w:line="240" w:lineRule="auto"/>
        <w:textAlignment w:val="baseline"/>
        <w:rPr>
          <w:rFonts w:ascii="inherit" w:eastAsia="Times New Roman" w:hAnsi="inherit" w:cs="Times New Roman"/>
          <w:color w:val="000000"/>
          <w:kern w:val="0"/>
          <w:sz w:val="36"/>
          <w:szCs w:val="36"/>
          <w:lang w:val="fr-FR" w:eastAsia="nl-NL"/>
          <w14:ligatures w14:val="none"/>
        </w:rPr>
      </w:pPr>
      <w:r w:rsidRPr="005D1D12">
        <w:rPr>
          <w:rFonts w:ascii="inherit" w:eastAsia="Times New Roman" w:hAnsi="inherit" w:cs="Times New Roman"/>
          <w:color w:val="000000"/>
          <w:kern w:val="0"/>
          <w:sz w:val="36"/>
          <w:szCs w:val="36"/>
          <w:lang w:val="fr-FR" w:eastAsia="nl-NL"/>
          <w14:ligatures w14:val="none"/>
        </w:rPr>
        <w:t>Certifié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Bio</w:t>
      </w:r>
    </w:p>
    <w:p w14:paraId="21A2688B" w14:textId="77777777" w:rsidR="005D1D12" w:rsidRPr="005D1D12" w:rsidRDefault="005D1D12" w:rsidP="005D1D12">
      <w:pPr>
        <w:shd w:val="clear" w:color="auto" w:fill="FFFFFF"/>
        <w:spacing w:line="240" w:lineRule="auto"/>
        <w:textAlignment w:val="baseline"/>
        <w:rPr>
          <w:rFonts w:ascii="inherit" w:eastAsia="Times New Roman" w:hAnsi="inherit" w:cs="Times New Roman"/>
          <w:color w:val="C20016"/>
          <w:kern w:val="0"/>
          <w:sz w:val="45"/>
          <w:szCs w:val="45"/>
          <w:lang w:val="fr-FR" w:eastAsia="nl-NL"/>
          <w14:ligatures w14:val="none"/>
        </w:rPr>
      </w:pPr>
      <w:r w:rsidRPr="005D1D12">
        <w:rPr>
          <w:rFonts w:ascii="inherit" w:eastAsia="Times New Roman" w:hAnsi="inherit" w:cs="Times New Roman"/>
          <w:color w:val="C20016"/>
          <w:kern w:val="0"/>
          <w:sz w:val="45"/>
          <w:szCs w:val="45"/>
          <w:lang w:val="fr-FR" w:eastAsia="nl-NL"/>
          <w14:ligatures w14:val="none"/>
        </w:rPr>
        <w:t>Vins du domaine</w:t>
      </w:r>
    </w:p>
    <w:p w14:paraId="6E915969" w14:textId="77777777" w:rsidR="005D1D12" w:rsidRPr="005D1D12" w:rsidRDefault="005D1D12" w:rsidP="005D1D12">
      <w:pPr>
        <w:shd w:val="clear" w:color="auto" w:fill="FFFFFF"/>
        <w:spacing w:after="375" w:line="240" w:lineRule="atLeast"/>
        <w:textAlignment w:val="baseline"/>
        <w:outlineLvl w:val="1"/>
        <w:rPr>
          <w:rFonts w:ascii="inherit" w:eastAsia="Times New Roman" w:hAnsi="inherit" w:cs="Times New Roman"/>
          <w:b/>
          <w:bCs/>
          <w:color w:val="000000"/>
          <w:kern w:val="0"/>
          <w:sz w:val="45"/>
          <w:szCs w:val="45"/>
          <w:lang w:val="fr-FR" w:eastAsia="nl-NL"/>
          <w14:ligatures w14:val="none"/>
        </w:rPr>
      </w:pPr>
      <w:r w:rsidRPr="005D1D12">
        <w:rPr>
          <w:rFonts w:ascii="inherit" w:eastAsia="Times New Roman" w:hAnsi="inherit" w:cs="Times New Roman"/>
          <w:b/>
          <w:bCs/>
          <w:color w:val="000000"/>
          <w:kern w:val="0"/>
          <w:sz w:val="45"/>
          <w:szCs w:val="45"/>
          <w:lang w:val="fr-FR" w:eastAsia="nl-NL"/>
          <w14:ligatures w14:val="none"/>
        </w:rPr>
        <w:t>L'histoire du domaine</w:t>
      </w:r>
    </w:p>
    <w:p w14:paraId="592004D5" w14:textId="77777777" w:rsidR="005D1D12" w:rsidRPr="005D1D12" w:rsidRDefault="005D1D12" w:rsidP="005D1D12">
      <w:pPr>
        <w:shd w:val="clear" w:color="auto" w:fill="FFFFFF"/>
        <w:spacing w:after="0" w:line="320" w:lineRule="atLeast"/>
        <w:jc w:val="both"/>
        <w:textAlignment w:val="baseline"/>
        <w:rPr>
          <w:rFonts w:ascii="inherit" w:eastAsia="Times New Roman" w:hAnsi="inherit" w:cs="Times New Roman"/>
          <w:color w:val="000000"/>
          <w:kern w:val="0"/>
          <w:sz w:val="36"/>
          <w:szCs w:val="36"/>
          <w:lang w:val="fr-FR" w:eastAsia="nl-NL"/>
          <w14:ligatures w14:val="none"/>
        </w:rPr>
      </w:pPr>
      <w:r w:rsidRPr="005D1D12">
        <w:rPr>
          <w:rFonts w:ascii="inherit" w:eastAsia="Times New Roman" w:hAnsi="inherit" w:cs="Times New Roman"/>
          <w:color w:val="000000"/>
          <w:kern w:val="0"/>
          <w:sz w:val="36"/>
          <w:szCs w:val="36"/>
          <w:lang w:val="fr-FR" w:eastAsia="nl-NL"/>
          <w14:ligatures w14:val="none"/>
        </w:rPr>
        <w:t>Au XVème siècle, le vignoble de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 xml:space="preserve">La Ferme de la </w:t>
      </w:r>
      <w:proofErr w:type="spellStart"/>
      <w:r w:rsidRPr="005D1D12">
        <w:rPr>
          <w:rFonts w:ascii="inherit" w:eastAsia="Times New Roman" w:hAnsi="inherit" w:cs="Times New Roman"/>
          <w:b/>
          <w:bCs/>
          <w:color w:val="000000"/>
          <w:kern w:val="0"/>
          <w:sz w:val="36"/>
          <w:szCs w:val="36"/>
          <w:bdr w:val="none" w:sz="0" w:space="0" w:color="auto" w:frame="1"/>
          <w:lang w:val="fr-FR" w:eastAsia="nl-NL"/>
          <w14:ligatures w14:val="none"/>
        </w:rPr>
        <w:t>Sansonnière</w:t>
      </w:r>
      <w:proofErr w:type="spellEnd"/>
      <w:r w:rsidRPr="005D1D12">
        <w:rPr>
          <w:rFonts w:ascii="inherit" w:eastAsia="Times New Roman" w:hAnsi="inherit" w:cs="Times New Roman"/>
          <w:color w:val="000000"/>
          <w:kern w:val="0"/>
          <w:sz w:val="36"/>
          <w:szCs w:val="36"/>
          <w:lang w:val="fr-FR" w:eastAsia="nl-NL"/>
          <w14:ligatures w14:val="none"/>
        </w:rPr>
        <w:t> </w:t>
      </w:r>
      <w:proofErr w:type="spellStart"/>
      <w:r w:rsidRPr="005D1D12">
        <w:rPr>
          <w:rFonts w:ascii="inherit" w:eastAsia="Times New Roman" w:hAnsi="inherit" w:cs="Times New Roman"/>
          <w:color w:val="000000"/>
          <w:kern w:val="0"/>
          <w:sz w:val="36"/>
          <w:szCs w:val="36"/>
          <w:lang w:val="fr-FR" w:eastAsia="nl-NL"/>
          <w14:ligatures w14:val="none"/>
        </w:rPr>
        <w:t>appartent</w:t>
      </w:r>
      <w:proofErr w:type="spellEnd"/>
      <w:r w:rsidRPr="005D1D12">
        <w:rPr>
          <w:rFonts w:ascii="inherit" w:eastAsia="Times New Roman" w:hAnsi="inherit" w:cs="Times New Roman"/>
          <w:color w:val="000000"/>
          <w:kern w:val="0"/>
          <w:sz w:val="36"/>
          <w:szCs w:val="36"/>
          <w:lang w:val="fr-FR" w:eastAsia="nl-NL"/>
          <w14:ligatures w14:val="none"/>
        </w:rPr>
        <w:t xml:space="preserve"> au seigneur local Jean de Villeneuve. La parcelle de 6 hectares est entretenue par des métayers pendant plusieurs siècles. Au XIXème siècle, le </w:t>
      </w:r>
      <w:r w:rsidRPr="005D1D12">
        <w:rPr>
          <w:rFonts w:ascii="inherit" w:eastAsia="Times New Roman" w:hAnsi="inherit" w:cs="Times New Roman"/>
          <w:color w:val="000000"/>
          <w:kern w:val="0"/>
          <w:sz w:val="36"/>
          <w:szCs w:val="36"/>
          <w:lang w:val="fr-FR" w:eastAsia="nl-NL"/>
          <w14:ligatures w14:val="none"/>
        </w:rPr>
        <w:lastRenderedPageBreak/>
        <w:t xml:space="preserve">vignoble est vendu à la famille noble De </w:t>
      </w:r>
      <w:proofErr w:type="spellStart"/>
      <w:r w:rsidRPr="005D1D12">
        <w:rPr>
          <w:rFonts w:ascii="inherit" w:eastAsia="Times New Roman" w:hAnsi="inherit" w:cs="Times New Roman"/>
          <w:color w:val="000000"/>
          <w:kern w:val="0"/>
          <w:sz w:val="36"/>
          <w:szCs w:val="36"/>
          <w:lang w:val="fr-FR" w:eastAsia="nl-NL"/>
          <w14:ligatures w14:val="none"/>
        </w:rPr>
        <w:t>Russon</w:t>
      </w:r>
      <w:proofErr w:type="spellEnd"/>
      <w:r w:rsidRPr="005D1D12">
        <w:rPr>
          <w:rFonts w:ascii="inherit" w:eastAsia="Times New Roman" w:hAnsi="inherit" w:cs="Times New Roman"/>
          <w:color w:val="000000"/>
          <w:kern w:val="0"/>
          <w:sz w:val="36"/>
          <w:szCs w:val="36"/>
          <w:lang w:val="fr-FR" w:eastAsia="nl-NL"/>
          <w14:ligatures w14:val="none"/>
        </w:rPr>
        <w:t xml:space="preserve"> qui siège au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château de Bonnezeaux</w:t>
      </w:r>
      <w:r w:rsidRPr="005D1D12">
        <w:rPr>
          <w:rFonts w:ascii="inherit" w:eastAsia="Times New Roman" w:hAnsi="inherit" w:cs="Times New Roman"/>
          <w:color w:val="000000"/>
          <w:kern w:val="0"/>
          <w:sz w:val="36"/>
          <w:szCs w:val="36"/>
          <w:lang w:val="fr-FR" w:eastAsia="nl-NL"/>
          <w14:ligatures w14:val="none"/>
        </w:rPr>
        <w:t xml:space="preserve">. La famille Cesbron, qui exploite en métayage le vignoble de La Ferme de la </w:t>
      </w:r>
      <w:proofErr w:type="spellStart"/>
      <w:r w:rsidRPr="005D1D12">
        <w:rPr>
          <w:rFonts w:ascii="inherit" w:eastAsia="Times New Roman" w:hAnsi="inherit" w:cs="Times New Roman"/>
          <w:color w:val="000000"/>
          <w:kern w:val="0"/>
          <w:sz w:val="36"/>
          <w:szCs w:val="36"/>
          <w:lang w:val="fr-FR" w:eastAsia="nl-NL"/>
          <w14:ligatures w14:val="none"/>
        </w:rPr>
        <w:t>Sansonnière</w:t>
      </w:r>
      <w:proofErr w:type="spellEnd"/>
      <w:r w:rsidRPr="005D1D12">
        <w:rPr>
          <w:rFonts w:ascii="inherit" w:eastAsia="Times New Roman" w:hAnsi="inherit" w:cs="Times New Roman"/>
          <w:color w:val="000000"/>
          <w:kern w:val="0"/>
          <w:sz w:val="36"/>
          <w:szCs w:val="36"/>
          <w:lang w:val="fr-FR" w:eastAsia="nl-NL"/>
          <w14:ligatures w14:val="none"/>
        </w:rPr>
        <w:t xml:space="preserve"> depuis 1958, finit par acquérir la parcelle d’un seul tenant à la fin des années 1970. Le complexe fermier accueille, en surcroît de la vigne, des plantations de choux de Bruxelles et de cornichons. L’intégralité des raisins sont à cette époque vendus à une cave coopérative qui produit un vin destiné aux supermarchés.</w:t>
      </w:r>
    </w:p>
    <w:p w14:paraId="3C664A9A" w14:textId="77777777" w:rsidR="005D1D12" w:rsidRPr="005D1D12" w:rsidRDefault="005D1D12" w:rsidP="005D1D12">
      <w:pPr>
        <w:shd w:val="clear" w:color="auto" w:fill="FFFFFF"/>
        <w:spacing w:after="375" w:line="240" w:lineRule="atLeast"/>
        <w:textAlignment w:val="baseline"/>
        <w:outlineLvl w:val="1"/>
        <w:rPr>
          <w:rFonts w:ascii="inherit" w:eastAsia="Times New Roman" w:hAnsi="inherit" w:cs="Times New Roman"/>
          <w:b/>
          <w:bCs/>
          <w:color w:val="000000"/>
          <w:kern w:val="0"/>
          <w:sz w:val="45"/>
          <w:szCs w:val="45"/>
          <w:lang w:val="fr-FR" w:eastAsia="nl-NL"/>
          <w14:ligatures w14:val="none"/>
        </w:rPr>
      </w:pPr>
      <w:r w:rsidRPr="005D1D12">
        <w:rPr>
          <w:rFonts w:ascii="inherit" w:eastAsia="Times New Roman" w:hAnsi="inherit" w:cs="Times New Roman"/>
          <w:b/>
          <w:bCs/>
          <w:color w:val="000000"/>
          <w:kern w:val="0"/>
          <w:sz w:val="45"/>
          <w:szCs w:val="45"/>
          <w:lang w:val="fr-FR" w:eastAsia="nl-NL"/>
          <w14:ligatures w14:val="none"/>
        </w:rPr>
        <w:t xml:space="preserve">Mark </w:t>
      </w:r>
      <w:proofErr w:type="spellStart"/>
      <w:r w:rsidRPr="005D1D12">
        <w:rPr>
          <w:rFonts w:ascii="inherit" w:eastAsia="Times New Roman" w:hAnsi="inherit" w:cs="Times New Roman"/>
          <w:b/>
          <w:bCs/>
          <w:color w:val="000000"/>
          <w:kern w:val="0"/>
          <w:sz w:val="45"/>
          <w:szCs w:val="45"/>
          <w:lang w:val="fr-FR" w:eastAsia="nl-NL"/>
          <w14:ligatures w14:val="none"/>
        </w:rPr>
        <w:t>Angeli</w:t>
      </w:r>
      <w:proofErr w:type="spellEnd"/>
      <w:r w:rsidRPr="005D1D12">
        <w:rPr>
          <w:rFonts w:ascii="inherit" w:eastAsia="Times New Roman" w:hAnsi="inherit" w:cs="Times New Roman"/>
          <w:b/>
          <w:bCs/>
          <w:color w:val="000000"/>
          <w:kern w:val="0"/>
          <w:sz w:val="45"/>
          <w:szCs w:val="45"/>
          <w:lang w:val="fr-FR" w:eastAsia="nl-NL"/>
          <w14:ligatures w14:val="none"/>
        </w:rPr>
        <w:t xml:space="preserve">, ancien maçon, achète La Ferme de la </w:t>
      </w:r>
      <w:proofErr w:type="spellStart"/>
      <w:r w:rsidRPr="005D1D12">
        <w:rPr>
          <w:rFonts w:ascii="inherit" w:eastAsia="Times New Roman" w:hAnsi="inherit" w:cs="Times New Roman"/>
          <w:b/>
          <w:bCs/>
          <w:color w:val="000000"/>
          <w:kern w:val="0"/>
          <w:sz w:val="45"/>
          <w:szCs w:val="45"/>
          <w:lang w:val="fr-FR" w:eastAsia="nl-NL"/>
          <w14:ligatures w14:val="none"/>
        </w:rPr>
        <w:t>Sansonnière</w:t>
      </w:r>
      <w:proofErr w:type="spellEnd"/>
    </w:p>
    <w:p w14:paraId="3B48CD03" w14:textId="77777777" w:rsidR="005D1D12" w:rsidRPr="005D1D12" w:rsidRDefault="005D1D12" w:rsidP="005D1D12">
      <w:pPr>
        <w:shd w:val="clear" w:color="auto" w:fill="FFFFFF"/>
        <w:spacing w:after="0" w:line="320" w:lineRule="atLeast"/>
        <w:jc w:val="both"/>
        <w:textAlignment w:val="baseline"/>
        <w:rPr>
          <w:rFonts w:ascii="inherit" w:eastAsia="Times New Roman" w:hAnsi="inherit" w:cs="Times New Roman"/>
          <w:color w:val="000000"/>
          <w:kern w:val="0"/>
          <w:sz w:val="36"/>
          <w:szCs w:val="36"/>
          <w:lang w:val="fr-FR" w:eastAsia="nl-NL"/>
          <w14:ligatures w14:val="none"/>
        </w:rPr>
      </w:pPr>
      <w:r w:rsidRPr="005D1D12">
        <w:rPr>
          <w:rFonts w:ascii="inherit" w:eastAsia="Times New Roman" w:hAnsi="inherit" w:cs="Times New Roman"/>
          <w:color w:val="000000"/>
          <w:kern w:val="0"/>
          <w:sz w:val="36"/>
          <w:szCs w:val="36"/>
          <w:lang w:val="fr-FR" w:eastAsia="nl-NL"/>
          <w14:ligatures w14:val="none"/>
        </w:rPr>
        <w:t xml:space="preserve">En 1989, Mark </w:t>
      </w:r>
      <w:proofErr w:type="spellStart"/>
      <w:r w:rsidRPr="005D1D12">
        <w:rPr>
          <w:rFonts w:ascii="inherit" w:eastAsia="Times New Roman" w:hAnsi="inherit" w:cs="Times New Roman"/>
          <w:color w:val="000000"/>
          <w:kern w:val="0"/>
          <w:sz w:val="36"/>
          <w:szCs w:val="36"/>
          <w:lang w:val="fr-FR" w:eastAsia="nl-NL"/>
          <w14:ligatures w14:val="none"/>
        </w:rPr>
        <w:t>Angeli</w:t>
      </w:r>
      <w:proofErr w:type="spellEnd"/>
      <w:r w:rsidRPr="005D1D12">
        <w:rPr>
          <w:rFonts w:ascii="inherit" w:eastAsia="Times New Roman" w:hAnsi="inherit" w:cs="Times New Roman"/>
          <w:color w:val="000000"/>
          <w:kern w:val="0"/>
          <w:sz w:val="36"/>
          <w:szCs w:val="36"/>
          <w:lang w:val="fr-FR" w:eastAsia="nl-NL"/>
          <w14:ligatures w14:val="none"/>
        </w:rPr>
        <w:t xml:space="preserve"> rachète opportunément La Ferme de la </w:t>
      </w:r>
      <w:proofErr w:type="spellStart"/>
      <w:r w:rsidRPr="005D1D12">
        <w:rPr>
          <w:rFonts w:ascii="inherit" w:eastAsia="Times New Roman" w:hAnsi="inherit" w:cs="Times New Roman"/>
          <w:color w:val="000000"/>
          <w:kern w:val="0"/>
          <w:sz w:val="36"/>
          <w:szCs w:val="36"/>
          <w:lang w:val="fr-FR" w:eastAsia="nl-NL"/>
          <w14:ligatures w14:val="none"/>
        </w:rPr>
        <w:t>Sansonnière</w:t>
      </w:r>
      <w:proofErr w:type="spellEnd"/>
      <w:r w:rsidRPr="005D1D12">
        <w:rPr>
          <w:rFonts w:ascii="inherit" w:eastAsia="Times New Roman" w:hAnsi="inherit" w:cs="Times New Roman"/>
          <w:color w:val="000000"/>
          <w:kern w:val="0"/>
          <w:sz w:val="36"/>
          <w:szCs w:val="36"/>
          <w:lang w:val="fr-FR" w:eastAsia="nl-NL"/>
          <w14:ligatures w14:val="none"/>
        </w:rPr>
        <w:t>. Cet ancien maçon fonce tête baissée dans la culture du raisin après s’être formé au </w:t>
      </w:r>
      <w:hyperlink r:id="rId7" w:tooltip="Château La Tour Blanche" w:history="1">
        <w:r w:rsidRPr="005D1D12">
          <w:rPr>
            <w:rFonts w:ascii="inherit" w:eastAsia="Times New Roman" w:hAnsi="inherit" w:cs="Times New Roman"/>
            <w:color w:val="C20016"/>
            <w:kern w:val="0"/>
            <w:sz w:val="36"/>
            <w:szCs w:val="36"/>
            <w:u w:val="single"/>
            <w:bdr w:val="none" w:sz="0" w:space="0" w:color="auto" w:frame="1"/>
            <w:lang w:val="fr-FR" w:eastAsia="nl-NL"/>
            <w14:ligatures w14:val="none"/>
          </w:rPr>
          <w:t>château La Tour Blanche</w:t>
        </w:r>
      </w:hyperlink>
      <w:r w:rsidRPr="005D1D12">
        <w:rPr>
          <w:rFonts w:ascii="inherit" w:eastAsia="Times New Roman" w:hAnsi="inherit" w:cs="Times New Roman"/>
          <w:color w:val="000000"/>
          <w:kern w:val="0"/>
          <w:sz w:val="36"/>
          <w:szCs w:val="36"/>
          <w:lang w:val="fr-FR" w:eastAsia="nl-NL"/>
          <w14:ligatures w14:val="none"/>
        </w:rPr>
        <w:t>, à </w:t>
      </w:r>
      <w:hyperlink r:id="rId8" w:tooltip="Sauternes" w:history="1">
        <w:r w:rsidRPr="005D1D12">
          <w:rPr>
            <w:rFonts w:ascii="inherit" w:eastAsia="Times New Roman" w:hAnsi="inherit" w:cs="Times New Roman"/>
            <w:color w:val="C20016"/>
            <w:kern w:val="0"/>
            <w:sz w:val="36"/>
            <w:szCs w:val="36"/>
            <w:u w:val="single"/>
            <w:bdr w:val="none" w:sz="0" w:space="0" w:color="auto" w:frame="1"/>
            <w:lang w:val="fr-FR" w:eastAsia="nl-NL"/>
            <w14:ligatures w14:val="none"/>
          </w:rPr>
          <w:t>Sauternes</w:t>
        </w:r>
      </w:hyperlink>
      <w:r w:rsidRPr="005D1D12">
        <w:rPr>
          <w:rFonts w:ascii="inherit" w:eastAsia="Times New Roman" w:hAnsi="inherit" w:cs="Times New Roman"/>
          <w:color w:val="000000"/>
          <w:kern w:val="0"/>
          <w:sz w:val="36"/>
          <w:szCs w:val="36"/>
          <w:lang w:val="fr-FR" w:eastAsia="nl-NL"/>
          <w14:ligatures w14:val="none"/>
        </w:rPr>
        <w:t>, auprès de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 xml:space="preserve">Jean-Luc </w:t>
      </w:r>
      <w:proofErr w:type="spellStart"/>
      <w:r w:rsidRPr="005D1D12">
        <w:rPr>
          <w:rFonts w:ascii="inherit" w:eastAsia="Times New Roman" w:hAnsi="inherit" w:cs="Times New Roman"/>
          <w:b/>
          <w:bCs/>
          <w:color w:val="000000"/>
          <w:kern w:val="0"/>
          <w:sz w:val="36"/>
          <w:szCs w:val="36"/>
          <w:bdr w:val="none" w:sz="0" w:space="0" w:color="auto" w:frame="1"/>
          <w:lang w:val="fr-FR" w:eastAsia="nl-NL"/>
          <w14:ligatures w14:val="none"/>
        </w:rPr>
        <w:t>Dantou</w:t>
      </w:r>
      <w:proofErr w:type="spellEnd"/>
      <w:r w:rsidRPr="005D1D12">
        <w:rPr>
          <w:rFonts w:ascii="inherit" w:eastAsia="Times New Roman" w:hAnsi="inherit" w:cs="Times New Roman"/>
          <w:color w:val="000000"/>
          <w:kern w:val="0"/>
          <w:sz w:val="36"/>
          <w:szCs w:val="36"/>
          <w:lang w:val="fr-FR" w:eastAsia="nl-NL"/>
          <w14:ligatures w14:val="none"/>
        </w:rPr>
        <w:t>. L’homme lui met le pied à l’étrier pour appliquer une culture biodynamique, qu’il met en place dès son premier millésime en 1990. L’accueil local réservé à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 xml:space="preserve">Mark </w:t>
      </w:r>
      <w:proofErr w:type="spellStart"/>
      <w:r w:rsidRPr="005D1D12">
        <w:rPr>
          <w:rFonts w:ascii="inherit" w:eastAsia="Times New Roman" w:hAnsi="inherit" w:cs="Times New Roman"/>
          <w:b/>
          <w:bCs/>
          <w:color w:val="000000"/>
          <w:kern w:val="0"/>
          <w:sz w:val="36"/>
          <w:szCs w:val="36"/>
          <w:bdr w:val="none" w:sz="0" w:space="0" w:color="auto" w:frame="1"/>
          <w:lang w:val="fr-FR" w:eastAsia="nl-NL"/>
          <w14:ligatures w14:val="none"/>
        </w:rPr>
        <w:t>Angeli</w:t>
      </w:r>
      <w:proofErr w:type="spellEnd"/>
      <w:r w:rsidRPr="005D1D12">
        <w:rPr>
          <w:rFonts w:ascii="inherit" w:eastAsia="Times New Roman" w:hAnsi="inherit" w:cs="Times New Roman"/>
          <w:color w:val="000000"/>
          <w:kern w:val="0"/>
          <w:sz w:val="36"/>
          <w:szCs w:val="36"/>
          <w:lang w:val="fr-FR" w:eastAsia="nl-NL"/>
          <w14:ligatures w14:val="none"/>
        </w:rPr>
        <w:t> est mitigé, le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bio et la biodynamie</w:t>
      </w:r>
      <w:r w:rsidRPr="005D1D12">
        <w:rPr>
          <w:rFonts w:ascii="inherit" w:eastAsia="Times New Roman" w:hAnsi="inherit" w:cs="Times New Roman"/>
          <w:color w:val="000000"/>
          <w:kern w:val="0"/>
          <w:sz w:val="36"/>
          <w:szCs w:val="36"/>
          <w:lang w:val="fr-FR" w:eastAsia="nl-NL"/>
          <w14:ligatures w14:val="none"/>
        </w:rPr>
        <w:t> sont largement à la marge à cette époque dans la région. Malgré tout,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les frères Foucault</w:t>
      </w:r>
      <w:r w:rsidRPr="005D1D12">
        <w:rPr>
          <w:rFonts w:ascii="inherit" w:eastAsia="Times New Roman" w:hAnsi="inherit" w:cs="Times New Roman"/>
          <w:color w:val="000000"/>
          <w:kern w:val="0"/>
          <w:sz w:val="36"/>
          <w:szCs w:val="36"/>
          <w:lang w:val="fr-FR" w:eastAsia="nl-NL"/>
          <w14:ligatures w14:val="none"/>
        </w:rPr>
        <w:t xml:space="preserve"> lui envoient des clients et le néo-vigneron prend ses marques à La Ferme de la </w:t>
      </w:r>
      <w:proofErr w:type="spellStart"/>
      <w:r w:rsidRPr="005D1D12">
        <w:rPr>
          <w:rFonts w:ascii="inherit" w:eastAsia="Times New Roman" w:hAnsi="inherit" w:cs="Times New Roman"/>
          <w:color w:val="000000"/>
          <w:kern w:val="0"/>
          <w:sz w:val="36"/>
          <w:szCs w:val="36"/>
          <w:lang w:val="fr-FR" w:eastAsia="nl-NL"/>
          <w14:ligatures w14:val="none"/>
        </w:rPr>
        <w:t>Sansonnière</w:t>
      </w:r>
      <w:proofErr w:type="spellEnd"/>
      <w:r w:rsidRPr="005D1D12">
        <w:rPr>
          <w:rFonts w:ascii="inherit" w:eastAsia="Times New Roman" w:hAnsi="inherit" w:cs="Times New Roman"/>
          <w:color w:val="000000"/>
          <w:kern w:val="0"/>
          <w:sz w:val="36"/>
          <w:szCs w:val="36"/>
          <w:lang w:val="fr-FR" w:eastAsia="nl-NL"/>
          <w14:ligatures w14:val="none"/>
        </w:rPr>
        <w:t xml:space="preserve">. Il se plaît à mettre en valeur le cépage autochtone grolleau. Ses cuvées trouvent vite preneur en France et à l’étranger suite au coup de cœur d’un dégustateur de La RVF en 1991 pour La Ferme de la </w:t>
      </w:r>
      <w:proofErr w:type="spellStart"/>
      <w:r w:rsidRPr="005D1D12">
        <w:rPr>
          <w:rFonts w:ascii="inherit" w:eastAsia="Times New Roman" w:hAnsi="inherit" w:cs="Times New Roman"/>
          <w:color w:val="000000"/>
          <w:kern w:val="0"/>
          <w:sz w:val="36"/>
          <w:szCs w:val="36"/>
          <w:lang w:val="fr-FR" w:eastAsia="nl-NL"/>
          <w14:ligatures w14:val="none"/>
        </w:rPr>
        <w:t>Sansonnière</w:t>
      </w:r>
      <w:proofErr w:type="spellEnd"/>
      <w:r w:rsidRPr="005D1D12">
        <w:rPr>
          <w:rFonts w:ascii="inherit" w:eastAsia="Times New Roman" w:hAnsi="inherit" w:cs="Times New Roman"/>
          <w:color w:val="000000"/>
          <w:kern w:val="0"/>
          <w:sz w:val="36"/>
          <w:szCs w:val="36"/>
          <w:lang w:val="fr-FR" w:eastAsia="nl-NL"/>
          <w14:ligatures w14:val="none"/>
        </w:rPr>
        <w:t>.</w:t>
      </w:r>
    </w:p>
    <w:p w14:paraId="72EDC879" w14:textId="77777777" w:rsidR="005D1D12" w:rsidRPr="005D1D12" w:rsidRDefault="005D1D12" w:rsidP="005D1D12">
      <w:pPr>
        <w:shd w:val="clear" w:color="auto" w:fill="FFFFFF"/>
        <w:spacing w:after="0" w:line="320" w:lineRule="atLeast"/>
        <w:jc w:val="both"/>
        <w:textAlignment w:val="baseline"/>
        <w:rPr>
          <w:rFonts w:ascii="inherit" w:eastAsia="Times New Roman" w:hAnsi="inherit" w:cs="Times New Roman"/>
          <w:caps/>
          <w:color w:val="909090"/>
          <w:kern w:val="0"/>
          <w:sz w:val="36"/>
          <w:szCs w:val="36"/>
          <w:lang w:eastAsia="nl-NL"/>
          <w14:ligatures w14:val="none"/>
        </w:rPr>
      </w:pPr>
      <w:r w:rsidRPr="005D1D12">
        <w:rPr>
          <w:rFonts w:ascii="inherit" w:eastAsia="Times New Roman" w:hAnsi="inherit" w:cs="Times New Roman"/>
          <w:caps/>
          <w:color w:val="909090"/>
          <w:kern w:val="0"/>
          <w:sz w:val="36"/>
          <w:szCs w:val="36"/>
          <w:bdr w:val="none" w:sz="0" w:space="0" w:color="auto" w:frame="1"/>
          <w:lang w:eastAsia="nl-NL"/>
          <w14:ligatures w14:val="none"/>
        </w:rPr>
        <w:t>LIRE AUSSI</w:t>
      </w:r>
    </w:p>
    <w:p w14:paraId="2730C8BD" w14:textId="77777777" w:rsidR="005D1D12" w:rsidRPr="005D1D12" w:rsidRDefault="005D1D12" w:rsidP="005D1D12">
      <w:pPr>
        <w:numPr>
          <w:ilvl w:val="0"/>
          <w:numId w:val="1"/>
        </w:numPr>
        <w:shd w:val="clear" w:color="auto" w:fill="FFFFFF"/>
        <w:spacing w:after="0" w:line="320" w:lineRule="atLeast"/>
        <w:textAlignment w:val="baseline"/>
        <w:rPr>
          <w:rFonts w:ascii="inherit" w:eastAsia="Times New Roman" w:hAnsi="inherit" w:cs="Times New Roman"/>
          <w:color w:val="000000"/>
          <w:kern w:val="0"/>
          <w:sz w:val="36"/>
          <w:szCs w:val="36"/>
          <w:lang w:val="fr-FR" w:eastAsia="nl-NL"/>
          <w14:ligatures w14:val="none"/>
        </w:rPr>
      </w:pPr>
      <w:hyperlink r:id="rId9" w:history="1">
        <w:r w:rsidRPr="005D1D12">
          <w:rPr>
            <w:rFonts w:ascii="inherit" w:eastAsia="Times New Roman" w:hAnsi="inherit" w:cs="Times New Roman"/>
            <w:color w:val="C20016"/>
            <w:kern w:val="0"/>
            <w:sz w:val="36"/>
            <w:szCs w:val="36"/>
            <w:u w:val="single"/>
            <w:bdr w:val="none" w:sz="0" w:space="0" w:color="auto" w:frame="1"/>
            <w:lang w:val="fr-FR" w:eastAsia="nl-NL"/>
            <w14:ligatures w14:val="none"/>
          </w:rPr>
          <w:t xml:space="preserve">Mark </w:t>
        </w:r>
        <w:proofErr w:type="spellStart"/>
        <w:r w:rsidRPr="005D1D12">
          <w:rPr>
            <w:rFonts w:ascii="inherit" w:eastAsia="Times New Roman" w:hAnsi="inherit" w:cs="Times New Roman"/>
            <w:color w:val="C20016"/>
            <w:kern w:val="0"/>
            <w:sz w:val="36"/>
            <w:szCs w:val="36"/>
            <w:u w:val="single"/>
            <w:bdr w:val="none" w:sz="0" w:space="0" w:color="auto" w:frame="1"/>
            <w:lang w:val="fr-FR" w:eastAsia="nl-NL"/>
            <w14:ligatures w14:val="none"/>
          </w:rPr>
          <w:t>Angeli</w:t>
        </w:r>
        <w:proofErr w:type="spellEnd"/>
        <w:r w:rsidRPr="005D1D12">
          <w:rPr>
            <w:rFonts w:ascii="inherit" w:eastAsia="Times New Roman" w:hAnsi="inherit" w:cs="Times New Roman"/>
            <w:color w:val="C20016"/>
            <w:kern w:val="0"/>
            <w:sz w:val="36"/>
            <w:szCs w:val="36"/>
            <w:u w:val="single"/>
            <w:bdr w:val="none" w:sz="0" w:space="0" w:color="auto" w:frame="1"/>
            <w:lang w:val="fr-FR" w:eastAsia="nl-NL"/>
            <w14:ligatures w14:val="none"/>
          </w:rPr>
          <w:t> : "Ajouter du soufre dans un vin est quelque part une défaite"</w:t>
        </w:r>
      </w:hyperlink>
    </w:p>
    <w:p w14:paraId="1591BB07" w14:textId="77777777" w:rsidR="005D1D12" w:rsidRPr="005D1D12" w:rsidRDefault="005D1D12" w:rsidP="005D1D12">
      <w:pPr>
        <w:numPr>
          <w:ilvl w:val="0"/>
          <w:numId w:val="1"/>
        </w:numPr>
        <w:shd w:val="clear" w:color="auto" w:fill="FFFFFF"/>
        <w:spacing w:line="320" w:lineRule="atLeast"/>
        <w:textAlignment w:val="baseline"/>
        <w:rPr>
          <w:rFonts w:ascii="inherit" w:eastAsia="Times New Roman" w:hAnsi="inherit" w:cs="Times New Roman"/>
          <w:color w:val="000000"/>
          <w:kern w:val="0"/>
          <w:sz w:val="36"/>
          <w:szCs w:val="36"/>
          <w:lang w:val="fr-FR" w:eastAsia="nl-NL"/>
          <w14:ligatures w14:val="none"/>
        </w:rPr>
      </w:pPr>
      <w:hyperlink r:id="rId10" w:history="1">
        <w:r w:rsidRPr="005D1D12">
          <w:rPr>
            <w:rFonts w:ascii="inherit" w:eastAsia="Times New Roman" w:hAnsi="inherit" w:cs="Times New Roman"/>
            <w:color w:val="C20016"/>
            <w:kern w:val="0"/>
            <w:sz w:val="36"/>
            <w:szCs w:val="36"/>
            <w:u w:val="single"/>
            <w:bdr w:val="none" w:sz="0" w:space="0" w:color="auto" w:frame="1"/>
            <w:lang w:val="fr-FR" w:eastAsia="nl-NL"/>
            <w14:ligatures w14:val="none"/>
          </w:rPr>
          <w:t xml:space="preserve">En Anjou, Mark </w:t>
        </w:r>
        <w:proofErr w:type="spellStart"/>
        <w:r w:rsidRPr="005D1D12">
          <w:rPr>
            <w:rFonts w:ascii="inherit" w:eastAsia="Times New Roman" w:hAnsi="inherit" w:cs="Times New Roman"/>
            <w:color w:val="C20016"/>
            <w:kern w:val="0"/>
            <w:sz w:val="36"/>
            <w:szCs w:val="36"/>
            <w:u w:val="single"/>
            <w:bdr w:val="none" w:sz="0" w:space="0" w:color="auto" w:frame="1"/>
            <w:lang w:val="fr-FR" w:eastAsia="nl-NL"/>
            <w14:ligatures w14:val="none"/>
          </w:rPr>
          <w:t>Angeli</w:t>
        </w:r>
        <w:proofErr w:type="spellEnd"/>
        <w:r w:rsidRPr="005D1D12">
          <w:rPr>
            <w:rFonts w:ascii="inherit" w:eastAsia="Times New Roman" w:hAnsi="inherit" w:cs="Times New Roman"/>
            <w:color w:val="C20016"/>
            <w:kern w:val="0"/>
            <w:sz w:val="36"/>
            <w:szCs w:val="36"/>
            <w:u w:val="single"/>
            <w:bdr w:val="none" w:sz="0" w:space="0" w:color="auto" w:frame="1"/>
            <w:lang w:val="fr-FR" w:eastAsia="nl-NL"/>
            <w14:ligatures w14:val="none"/>
          </w:rPr>
          <w:t> prône le modèle bourguignon</w:t>
        </w:r>
      </w:hyperlink>
    </w:p>
    <w:p w14:paraId="12C0B025" w14:textId="77777777" w:rsidR="005D1D12" w:rsidRPr="005D1D12" w:rsidRDefault="005D1D12" w:rsidP="005D1D12">
      <w:pPr>
        <w:shd w:val="clear" w:color="auto" w:fill="FFFFFF"/>
        <w:spacing w:after="375" w:line="240" w:lineRule="atLeast"/>
        <w:textAlignment w:val="baseline"/>
        <w:outlineLvl w:val="2"/>
        <w:rPr>
          <w:rFonts w:ascii="inherit" w:eastAsia="Times New Roman" w:hAnsi="inherit" w:cs="Times New Roman"/>
          <w:b/>
          <w:bCs/>
          <w:color w:val="000000"/>
          <w:kern w:val="0"/>
          <w:sz w:val="45"/>
          <w:szCs w:val="45"/>
          <w:lang w:val="fr-FR" w:eastAsia="nl-NL"/>
          <w14:ligatures w14:val="none"/>
        </w:rPr>
      </w:pPr>
      <w:r w:rsidRPr="005D1D12">
        <w:rPr>
          <w:rFonts w:ascii="inherit" w:eastAsia="Times New Roman" w:hAnsi="inherit" w:cs="Times New Roman"/>
          <w:b/>
          <w:bCs/>
          <w:color w:val="000000"/>
          <w:kern w:val="0"/>
          <w:sz w:val="45"/>
          <w:szCs w:val="45"/>
          <w:lang w:val="fr-FR" w:eastAsia="nl-NL"/>
          <w14:ligatures w14:val="none"/>
        </w:rPr>
        <w:t>Guide Vert</w:t>
      </w:r>
    </w:p>
    <w:p w14:paraId="0532428D" w14:textId="77777777" w:rsidR="005D1D12" w:rsidRPr="005D1D12" w:rsidRDefault="005D1D12" w:rsidP="005D1D12">
      <w:pPr>
        <w:shd w:val="clear" w:color="auto" w:fill="FFFFFF"/>
        <w:spacing w:after="375" w:line="320" w:lineRule="atLeast"/>
        <w:jc w:val="both"/>
        <w:textAlignment w:val="baseline"/>
        <w:rPr>
          <w:rFonts w:ascii="inherit" w:eastAsia="Times New Roman" w:hAnsi="inherit" w:cs="Times New Roman"/>
          <w:color w:val="000000"/>
          <w:kern w:val="0"/>
          <w:sz w:val="36"/>
          <w:szCs w:val="36"/>
          <w:lang w:val="fr-FR" w:eastAsia="nl-NL"/>
          <w14:ligatures w14:val="none"/>
        </w:rPr>
      </w:pPr>
      <w:r w:rsidRPr="005D1D12">
        <w:rPr>
          <w:rFonts w:ascii="inherit" w:eastAsia="Times New Roman" w:hAnsi="inherit" w:cs="Times New Roman"/>
          <w:color w:val="000000"/>
          <w:kern w:val="0"/>
          <w:sz w:val="36"/>
          <w:szCs w:val="36"/>
          <w:lang w:val="fr-FR" w:eastAsia="nl-NL"/>
          <w14:ligatures w14:val="none"/>
        </w:rPr>
        <w:lastRenderedPageBreak/>
        <w:t xml:space="preserve">Mark </w:t>
      </w:r>
      <w:proofErr w:type="spellStart"/>
      <w:r w:rsidRPr="005D1D12">
        <w:rPr>
          <w:rFonts w:ascii="inherit" w:eastAsia="Times New Roman" w:hAnsi="inherit" w:cs="Times New Roman"/>
          <w:color w:val="000000"/>
          <w:kern w:val="0"/>
          <w:sz w:val="36"/>
          <w:szCs w:val="36"/>
          <w:lang w:val="fr-FR" w:eastAsia="nl-NL"/>
          <w14:ligatures w14:val="none"/>
        </w:rPr>
        <w:t>Angeli</w:t>
      </w:r>
      <w:proofErr w:type="spellEnd"/>
      <w:r w:rsidRPr="005D1D12">
        <w:rPr>
          <w:rFonts w:ascii="inherit" w:eastAsia="Times New Roman" w:hAnsi="inherit" w:cs="Times New Roman"/>
          <w:color w:val="000000"/>
          <w:kern w:val="0"/>
          <w:sz w:val="36"/>
          <w:szCs w:val="36"/>
          <w:lang w:val="fr-FR" w:eastAsia="nl-NL"/>
          <w14:ligatures w14:val="none"/>
        </w:rPr>
        <w:t xml:space="preserve"> était maçon avant de devenir vigneron dans sa ferme de la </w:t>
      </w:r>
      <w:proofErr w:type="spellStart"/>
      <w:r w:rsidRPr="005D1D12">
        <w:rPr>
          <w:rFonts w:ascii="inherit" w:eastAsia="Times New Roman" w:hAnsi="inherit" w:cs="Times New Roman"/>
          <w:color w:val="000000"/>
          <w:kern w:val="0"/>
          <w:sz w:val="36"/>
          <w:szCs w:val="36"/>
          <w:lang w:val="fr-FR" w:eastAsia="nl-NL"/>
          <w14:ligatures w14:val="none"/>
        </w:rPr>
        <w:t>Sansonnière</w:t>
      </w:r>
      <w:proofErr w:type="spellEnd"/>
      <w:r w:rsidRPr="005D1D12">
        <w:rPr>
          <w:rFonts w:ascii="inherit" w:eastAsia="Times New Roman" w:hAnsi="inherit" w:cs="Times New Roman"/>
          <w:color w:val="000000"/>
          <w:kern w:val="0"/>
          <w:sz w:val="36"/>
          <w:szCs w:val="36"/>
          <w:lang w:val="fr-FR" w:eastAsia="nl-NL"/>
          <w14:ligatures w14:val="none"/>
        </w:rPr>
        <w:t xml:space="preserve">, à Thouarcé en 1989. Au fil des années, il appréhende son vignoble de 7,8 hectares qu'il découpe par type de terroirs : schistes argileux, schistes carbonifères, phtanites pour La Lune, argiles rouges sur schiste pour Les </w:t>
      </w:r>
      <w:proofErr w:type="spellStart"/>
      <w:r w:rsidRPr="005D1D12">
        <w:rPr>
          <w:rFonts w:ascii="inherit" w:eastAsia="Times New Roman" w:hAnsi="inherit" w:cs="Times New Roman"/>
          <w:color w:val="000000"/>
          <w:kern w:val="0"/>
          <w:sz w:val="36"/>
          <w:szCs w:val="36"/>
          <w:lang w:val="fr-FR" w:eastAsia="nl-NL"/>
          <w14:ligatures w14:val="none"/>
        </w:rPr>
        <w:t>Fouchardes</w:t>
      </w:r>
      <w:proofErr w:type="spellEnd"/>
      <w:r w:rsidRPr="005D1D12">
        <w:rPr>
          <w:rFonts w:ascii="inherit" w:eastAsia="Times New Roman" w:hAnsi="inherit" w:cs="Times New Roman"/>
          <w:color w:val="000000"/>
          <w:kern w:val="0"/>
          <w:sz w:val="36"/>
          <w:szCs w:val="36"/>
          <w:lang w:val="fr-FR" w:eastAsia="nl-NL"/>
          <w14:ligatures w14:val="none"/>
        </w:rPr>
        <w:t xml:space="preserve"> et schistes de Saint-Georges pour les Vieilles Vignes des </w:t>
      </w:r>
      <w:proofErr w:type="spellStart"/>
      <w:r w:rsidRPr="005D1D12">
        <w:rPr>
          <w:rFonts w:ascii="inherit" w:eastAsia="Times New Roman" w:hAnsi="inherit" w:cs="Times New Roman"/>
          <w:color w:val="000000"/>
          <w:kern w:val="0"/>
          <w:sz w:val="36"/>
          <w:szCs w:val="36"/>
          <w:lang w:val="fr-FR" w:eastAsia="nl-NL"/>
          <w14:ligatures w14:val="none"/>
        </w:rPr>
        <w:t>Blanderies</w:t>
      </w:r>
      <w:proofErr w:type="spellEnd"/>
      <w:r w:rsidRPr="005D1D12">
        <w:rPr>
          <w:rFonts w:ascii="inherit" w:eastAsia="Times New Roman" w:hAnsi="inherit" w:cs="Times New Roman"/>
          <w:color w:val="000000"/>
          <w:kern w:val="0"/>
          <w:sz w:val="36"/>
          <w:szCs w:val="36"/>
          <w:lang w:val="fr-FR" w:eastAsia="nl-NL"/>
          <w14:ligatures w14:val="none"/>
        </w:rPr>
        <w:t>, un joyau géologique planté de pieds de 70 ans. Avec une maturité optimale du chenin, un pressurage doux dans un pressoir vertical en bois, des élevages d'un à deux ans en barrique usagée, des doses minimes de soufre volcanique et une intuition sensible hors du commun, les blancs insufflent une mâche saline extraordinaire. Au-delà de la régularité, du très haut niveau objectif de la production, ces vins diffusent une sensation de bien-être, à la fois apaisante et énergisante, à chaque gorgée. Sous l'impulsion de Martial, le fils de Mark, une nouvelle série époustouflante de lieux-dits (micro volumes), élevée paisiblement pendant deux ans, vient de voir le jour.</w:t>
      </w:r>
    </w:p>
    <w:p w14:paraId="742FDD28" w14:textId="77777777" w:rsidR="005D1D12" w:rsidRPr="005D1D12" w:rsidRDefault="005D1D12" w:rsidP="005D1D12">
      <w:pPr>
        <w:shd w:val="clear" w:color="auto" w:fill="FFFFFF"/>
        <w:spacing w:after="375" w:line="320" w:lineRule="atLeast"/>
        <w:jc w:val="both"/>
        <w:textAlignment w:val="baseline"/>
        <w:rPr>
          <w:rFonts w:ascii="inherit" w:eastAsia="Times New Roman" w:hAnsi="inherit" w:cs="Times New Roman"/>
          <w:color w:val="000000"/>
          <w:kern w:val="0"/>
          <w:sz w:val="36"/>
          <w:szCs w:val="36"/>
          <w:lang w:val="fr-FR" w:eastAsia="nl-NL"/>
          <w14:ligatures w14:val="none"/>
        </w:rPr>
      </w:pPr>
      <w:r w:rsidRPr="005D1D12">
        <w:rPr>
          <w:rFonts w:ascii="inherit" w:eastAsia="Times New Roman" w:hAnsi="inherit" w:cs="Times New Roman"/>
          <w:color w:val="000000"/>
          <w:kern w:val="0"/>
          <w:sz w:val="36"/>
          <w:szCs w:val="36"/>
          <w:lang w:val="fr-FR" w:eastAsia="nl-NL"/>
          <w14:ligatures w14:val="none"/>
        </w:rPr>
        <w:t xml:space="preserve">Les vins : Rosé d'un Jour est toujours ravissant de </w:t>
      </w:r>
      <w:proofErr w:type="spellStart"/>
      <w:r w:rsidRPr="005D1D12">
        <w:rPr>
          <w:rFonts w:ascii="inherit" w:eastAsia="Times New Roman" w:hAnsi="inherit" w:cs="Times New Roman"/>
          <w:color w:val="000000"/>
          <w:kern w:val="0"/>
          <w:sz w:val="36"/>
          <w:szCs w:val="36"/>
          <w:lang w:val="fr-FR" w:eastAsia="nl-NL"/>
          <w14:ligatures w14:val="none"/>
        </w:rPr>
        <w:t>floralité</w:t>
      </w:r>
      <w:proofErr w:type="spellEnd"/>
      <w:r w:rsidRPr="005D1D12">
        <w:rPr>
          <w:rFonts w:ascii="inherit" w:eastAsia="Times New Roman" w:hAnsi="inherit" w:cs="Times New Roman"/>
          <w:color w:val="000000"/>
          <w:kern w:val="0"/>
          <w:sz w:val="36"/>
          <w:szCs w:val="36"/>
          <w:lang w:val="fr-FR" w:eastAsia="nl-NL"/>
          <w14:ligatures w14:val="none"/>
        </w:rPr>
        <w:t xml:space="preserve"> et de tendresse, une chair pulpeuse et une allonge pimpante. Une richesse de sucres résiduels extrêmement savoureuse. 2021 annonce un millésime sec pour La Lune, une version à la fois tendre et svelte, à la saveur umami, tout en grâce. La finale est digeste. Les 2020 s'affirment naturellement avec un caractère plus ensoleillé. Le Coteau du Houet (terroir de Bonnezeaux) livre une enveloppe sensuelle et de doux amers sculptent ce vin à la finale généreuse. Une sensation d'acidité volatile lui donne du tonus. Espérons qu'elle se fondra dans la matière dans le temps. Comme à son habitude, Les Vieilles Vignes des </w:t>
      </w:r>
      <w:proofErr w:type="spellStart"/>
      <w:r w:rsidRPr="005D1D12">
        <w:rPr>
          <w:rFonts w:ascii="inherit" w:eastAsia="Times New Roman" w:hAnsi="inherit" w:cs="Times New Roman"/>
          <w:color w:val="000000"/>
          <w:kern w:val="0"/>
          <w:sz w:val="36"/>
          <w:szCs w:val="36"/>
          <w:lang w:val="fr-FR" w:eastAsia="nl-NL"/>
          <w14:ligatures w14:val="none"/>
        </w:rPr>
        <w:t>Blanderies</w:t>
      </w:r>
      <w:proofErr w:type="spellEnd"/>
      <w:r w:rsidRPr="005D1D12">
        <w:rPr>
          <w:rFonts w:ascii="inherit" w:eastAsia="Times New Roman" w:hAnsi="inherit" w:cs="Times New Roman"/>
          <w:color w:val="000000"/>
          <w:kern w:val="0"/>
          <w:sz w:val="36"/>
          <w:szCs w:val="36"/>
          <w:lang w:val="fr-FR" w:eastAsia="nl-NL"/>
          <w14:ligatures w14:val="none"/>
        </w:rPr>
        <w:t xml:space="preserve"> éblouit de son énergie et de sa grâce. Un vin </w:t>
      </w:r>
      <w:r w:rsidRPr="005D1D12">
        <w:rPr>
          <w:rFonts w:ascii="inherit" w:eastAsia="Times New Roman" w:hAnsi="inherit" w:cs="Times New Roman"/>
          <w:color w:val="000000"/>
          <w:kern w:val="0"/>
          <w:sz w:val="36"/>
          <w:szCs w:val="36"/>
          <w:lang w:val="fr-FR" w:eastAsia="nl-NL"/>
          <w14:ligatures w14:val="none"/>
        </w:rPr>
        <w:lastRenderedPageBreak/>
        <w:t>absolument détendu, libre et pourtant tout en équilibre. La Lune Noire est plus élancé, floral et salin. Une expression sereine du chenin. Ces vins jouent toujours sur le fil oxydatif et sont parfois marqués par une acidité volatile, ils pourront donc aussi bien vous enchanter que vous déstabiliser. En revanche, les rouges de grolleau Gélinettes et La Ruelle n'affichent pas la même émotion que les blancs. S'ils expriment une réelle sincérité de fruit, la recherche de finesse tannique est plus subtile à trouver. Ces deux-là n'ont pas la profondeur, l'équilibre et la complexité que l'on attend pour un domaine triplement étoilé.</w:t>
      </w:r>
    </w:p>
    <w:p w14:paraId="6B4441BD" w14:textId="77777777" w:rsidR="005D1D12" w:rsidRPr="005D1D12" w:rsidRDefault="005D1D12" w:rsidP="005D1D12">
      <w:pPr>
        <w:shd w:val="clear" w:color="auto" w:fill="FFFFFF"/>
        <w:spacing w:after="375" w:line="240" w:lineRule="atLeast"/>
        <w:textAlignment w:val="baseline"/>
        <w:outlineLvl w:val="2"/>
        <w:rPr>
          <w:rFonts w:ascii="inherit" w:eastAsia="Times New Roman" w:hAnsi="inherit" w:cs="Times New Roman"/>
          <w:b/>
          <w:bCs/>
          <w:color w:val="000000"/>
          <w:kern w:val="0"/>
          <w:sz w:val="45"/>
          <w:szCs w:val="45"/>
          <w:lang w:val="fr-FR" w:eastAsia="nl-NL"/>
          <w14:ligatures w14:val="none"/>
        </w:rPr>
      </w:pPr>
      <w:r w:rsidRPr="005D1D12">
        <w:rPr>
          <w:rFonts w:ascii="inherit" w:eastAsia="Times New Roman" w:hAnsi="inherit" w:cs="Times New Roman"/>
          <w:b/>
          <w:bCs/>
          <w:color w:val="000000"/>
          <w:kern w:val="0"/>
          <w:sz w:val="45"/>
          <w:szCs w:val="45"/>
          <w:lang w:val="fr-FR" w:eastAsia="nl-NL"/>
          <w14:ligatures w14:val="none"/>
        </w:rPr>
        <w:t>Encépagement et vignoble</w:t>
      </w:r>
    </w:p>
    <w:p w14:paraId="349AD364" w14:textId="77777777" w:rsidR="005D1D12" w:rsidRPr="005D1D12" w:rsidRDefault="005D1D12" w:rsidP="005D1D12">
      <w:pPr>
        <w:shd w:val="clear" w:color="auto" w:fill="FFFFFF"/>
        <w:spacing w:line="320" w:lineRule="atLeast"/>
        <w:textAlignment w:val="baseline"/>
        <w:rPr>
          <w:rFonts w:ascii="inherit" w:eastAsia="Times New Roman" w:hAnsi="inherit" w:cs="Times New Roman"/>
          <w:color w:val="000000"/>
          <w:kern w:val="0"/>
          <w:sz w:val="36"/>
          <w:szCs w:val="36"/>
          <w:lang w:val="fr-FR" w:eastAsia="nl-NL"/>
          <w14:ligatures w14:val="none"/>
        </w:rPr>
      </w:pPr>
      <w:r w:rsidRPr="005D1D12">
        <w:rPr>
          <w:rFonts w:ascii="inherit" w:eastAsia="Times New Roman" w:hAnsi="inherit" w:cs="Times New Roman"/>
          <w:color w:val="000000"/>
          <w:kern w:val="0"/>
          <w:sz w:val="36"/>
          <w:szCs w:val="36"/>
          <w:lang w:val="fr-FR" w:eastAsia="nl-NL"/>
          <w14:ligatures w14:val="none"/>
        </w:rPr>
        <w:t>Nombre de bouteilles par an :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18000</w:t>
      </w:r>
      <w:r w:rsidRPr="005D1D12">
        <w:rPr>
          <w:rFonts w:ascii="inherit" w:eastAsia="Times New Roman" w:hAnsi="inherit" w:cs="Times New Roman"/>
          <w:color w:val="000000"/>
          <w:kern w:val="0"/>
          <w:sz w:val="36"/>
          <w:szCs w:val="36"/>
          <w:lang w:val="fr-FR" w:eastAsia="nl-NL"/>
          <w14:ligatures w14:val="none"/>
        </w:rPr>
        <w:br/>
        <w:t>Surface plantée :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7.8 hectares</w:t>
      </w:r>
      <w:r w:rsidRPr="005D1D12">
        <w:rPr>
          <w:rFonts w:ascii="inherit" w:eastAsia="Times New Roman" w:hAnsi="inherit" w:cs="Times New Roman"/>
          <w:color w:val="000000"/>
          <w:kern w:val="0"/>
          <w:sz w:val="36"/>
          <w:szCs w:val="36"/>
          <w:lang w:val="fr-FR" w:eastAsia="nl-NL"/>
          <w14:ligatures w14:val="none"/>
        </w:rPr>
        <w:t> (Rouge : 1.3, Blanc : 6.5)</w:t>
      </w:r>
      <w:r w:rsidRPr="005D1D12">
        <w:rPr>
          <w:rFonts w:ascii="inherit" w:eastAsia="Times New Roman" w:hAnsi="inherit" w:cs="Times New Roman"/>
          <w:color w:val="000000"/>
          <w:kern w:val="0"/>
          <w:sz w:val="36"/>
          <w:szCs w:val="36"/>
          <w:lang w:val="fr-FR" w:eastAsia="nl-NL"/>
          <w14:ligatures w14:val="none"/>
        </w:rPr>
        <w:br/>
        <w:t>Mode de vendange :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Manuelle</w:t>
      </w:r>
      <w:r w:rsidRPr="005D1D12">
        <w:rPr>
          <w:rFonts w:ascii="inherit" w:eastAsia="Times New Roman" w:hAnsi="inherit" w:cs="Times New Roman"/>
          <w:color w:val="000000"/>
          <w:kern w:val="0"/>
          <w:sz w:val="36"/>
          <w:szCs w:val="36"/>
          <w:lang w:val="fr-FR" w:eastAsia="nl-NL"/>
          <w14:ligatures w14:val="none"/>
        </w:rPr>
        <w:br/>
        <w:t>Âge moyen des vignes :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35</w:t>
      </w:r>
      <w:r w:rsidRPr="005D1D12">
        <w:rPr>
          <w:rFonts w:ascii="inherit" w:eastAsia="Times New Roman" w:hAnsi="inherit" w:cs="Times New Roman"/>
          <w:color w:val="000000"/>
          <w:kern w:val="0"/>
          <w:sz w:val="36"/>
          <w:szCs w:val="36"/>
          <w:lang w:val="fr-FR" w:eastAsia="nl-NL"/>
          <w14:ligatures w14:val="none"/>
        </w:rPr>
        <w:br/>
        <w:t>Achat de raisin :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Non</w:t>
      </w:r>
      <w:r w:rsidRPr="005D1D12">
        <w:rPr>
          <w:rFonts w:ascii="inherit" w:eastAsia="Times New Roman" w:hAnsi="inherit" w:cs="Times New Roman"/>
          <w:color w:val="000000"/>
          <w:kern w:val="0"/>
          <w:sz w:val="36"/>
          <w:szCs w:val="36"/>
          <w:lang w:val="fr-FR" w:eastAsia="nl-NL"/>
          <w14:ligatures w14:val="none"/>
        </w:rPr>
        <w:br/>
        <w:t>Cépages rouges :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Grolleau</w:t>
      </w:r>
      <w:r w:rsidRPr="005D1D12">
        <w:rPr>
          <w:rFonts w:ascii="inherit" w:eastAsia="Times New Roman" w:hAnsi="inherit" w:cs="Times New Roman"/>
          <w:color w:val="000000"/>
          <w:kern w:val="0"/>
          <w:sz w:val="36"/>
          <w:szCs w:val="36"/>
          <w:lang w:val="fr-FR" w:eastAsia="nl-NL"/>
          <w14:ligatures w14:val="none"/>
        </w:rPr>
        <w:t> (100%)</w:t>
      </w:r>
      <w:r w:rsidRPr="005D1D12">
        <w:rPr>
          <w:rFonts w:ascii="inherit" w:eastAsia="Times New Roman" w:hAnsi="inherit" w:cs="Times New Roman"/>
          <w:color w:val="000000"/>
          <w:kern w:val="0"/>
          <w:sz w:val="36"/>
          <w:szCs w:val="36"/>
          <w:lang w:val="fr-FR" w:eastAsia="nl-NL"/>
          <w14:ligatures w14:val="none"/>
        </w:rPr>
        <w:br/>
        <w:t>Cépages blancs : </w:t>
      </w:r>
      <w:r w:rsidRPr="005D1D12">
        <w:rPr>
          <w:rFonts w:ascii="inherit" w:eastAsia="Times New Roman" w:hAnsi="inherit" w:cs="Times New Roman"/>
          <w:b/>
          <w:bCs/>
          <w:color w:val="000000"/>
          <w:kern w:val="0"/>
          <w:sz w:val="36"/>
          <w:szCs w:val="36"/>
          <w:bdr w:val="none" w:sz="0" w:space="0" w:color="auto" w:frame="1"/>
          <w:lang w:val="fr-FR" w:eastAsia="nl-NL"/>
          <w14:ligatures w14:val="none"/>
        </w:rPr>
        <w:t>Chenin</w:t>
      </w:r>
      <w:r w:rsidRPr="005D1D12">
        <w:rPr>
          <w:rFonts w:ascii="inherit" w:eastAsia="Times New Roman" w:hAnsi="inherit" w:cs="Times New Roman"/>
          <w:color w:val="000000"/>
          <w:kern w:val="0"/>
          <w:sz w:val="36"/>
          <w:szCs w:val="36"/>
          <w:lang w:val="fr-FR" w:eastAsia="nl-NL"/>
          <w14:ligatures w14:val="none"/>
        </w:rPr>
        <w:t> (100%)</w:t>
      </w:r>
    </w:p>
    <w:p w14:paraId="0DC31412" w14:textId="77777777" w:rsidR="00B627D9" w:rsidRPr="005D1D12" w:rsidRDefault="00B627D9">
      <w:pPr>
        <w:rPr>
          <w:lang w:val="fr-FR"/>
        </w:rPr>
      </w:pPr>
    </w:p>
    <w:sectPr w:rsidR="00B627D9" w:rsidRPr="005D1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iri">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4A7"/>
    <w:multiLevelType w:val="multilevel"/>
    <w:tmpl w:val="600A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00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12"/>
    <w:rsid w:val="005D1D12"/>
    <w:rsid w:val="0064116E"/>
    <w:rsid w:val="00B627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C15A"/>
  <w15:chartTrackingRefBased/>
  <w15:docId w15:val="{81E68BDE-52F8-4190-AB50-D72CEDC8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D1D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5D1D1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5D1D1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1D12"/>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5D1D12"/>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5D1D12"/>
    <w:rPr>
      <w:rFonts w:ascii="Times New Roman" w:eastAsia="Times New Roman" w:hAnsi="Times New Roman" w:cs="Times New Roman"/>
      <w:b/>
      <w:bCs/>
      <w:kern w:val="0"/>
      <w:sz w:val="27"/>
      <w:szCs w:val="27"/>
      <w:lang w:eastAsia="nl-NL"/>
      <w14:ligatures w14:val="none"/>
    </w:rPr>
  </w:style>
  <w:style w:type="character" w:customStyle="1" w:styleId="title-content">
    <w:name w:val="title-content"/>
    <w:basedOn w:val="Standaardalinea-lettertype"/>
    <w:rsid w:val="005D1D12"/>
  </w:style>
  <w:style w:type="character" w:customStyle="1" w:styleId="article-metavalue">
    <w:name w:val="article-metavalue"/>
    <w:basedOn w:val="Standaardalinea-lettertype"/>
    <w:rsid w:val="005D1D12"/>
  </w:style>
  <w:style w:type="character" w:styleId="Hyperlink">
    <w:name w:val="Hyperlink"/>
    <w:basedOn w:val="Standaardalinea-lettertype"/>
    <w:uiPriority w:val="99"/>
    <w:semiHidden/>
    <w:unhideWhenUsed/>
    <w:rsid w:val="005D1D12"/>
    <w:rPr>
      <w:color w:val="0000FF"/>
      <w:u w:val="single"/>
    </w:rPr>
  </w:style>
  <w:style w:type="character" w:styleId="Zwaar">
    <w:name w:val="Strong"/>
    <w:basedOn w:val="Standaardalinea-lettertype"/>
    <w:uiPriority w:val="22"/>
    <w:qFormat/>
    <w:rsid w:val="005D1D12"/>
    <w:rPr>
      <w:b/>
      <w:bCs/>
    </w:rPr>
  </w:style>
  <w:style w:type="paragraph" w:styleId="Normaalweb">
    <w:name w:val="Normal (Web)"/>
    <w:basedOn w:val="Standaard"/>
    <w:uiPriority w:val="99"/>
    <w:semiHidden/>
    <w:unhideWhenUsed/>
    <w:rsid w:val="005D1D1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contextuallinks-item">
    <w:name w:val="contextuallinks-item"/>
    <w:basedOn w:val="Standaard"/>
    <w:rsid w:val="005D1D1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12036">
      <w:bodyDiv w:val="1"/>
      <w:marLeft w:val="0"/>
      <w:marRight w:val="0"/>
      <w:marTop w:val="0"/>
      <w:marBottom w:val="0"/>
      <w:divBdr>
        <w:top w:val="none" w:sz="0" w:space="0" w:color="auto"/>
        <w:left w:val="none" w:sz="0" w:space="0" w:color="auto"/>
        <w:bottom w:val="none" w:sz="0" w:space="0" w:color="auto"/>
        <w:right w:val="none" w:sz="0" w:space="0" w:color="auto"/>
      </w:divBdr>
      <w:divsChild>
        <w:div w:id="1485050242">
          <w:marLeft w:val="0"/>
          <w:marRight w:val="0"/>
          <w:marTop w:val="0"/>
          <w:marBottom w:val="0"/>
          <w:divBdr>
            <w:top w:val="none" w:sz="0" w:space="0" w:color="auto"/>
            <w:left w:val="none" w:sz="0" w:space="0" w:color="auto"/>
            <w:bottom w:val="none" w:sz="0" w:space="0" w:color="auto"/>
            <w:right w:val="none" w:sz="0" w:space="0" w:color="auto"/>
          </w:divBdr>
          <w:divsChild>
            <w:div w:id="102653731">
              <w:marLeft w:val="0"/>
              <w:marRight w:val="0"/>
              <w:marTop w:val="0"/>
              <w:marBottom w:val="600"/>
              <w:divBdr>
                <w:top w:val="none" w:sz="0" w:space="0" w:color="auto"/>
                <w:left w:val="none" w:sz="0" w:space="0" w:color="auto"/>
                <w:bottom w:val="none" w:sz="0" w:space="0" w:color="auto"/>
                <w:right w:val="none" w:sz="0" w:space="0" w:color="auto"/>
              </w:divBdr>
              <w:divsChild>
                <w:div w:id="21458485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76323886">
          <w:marLeft w:val="0"/>
          <w:marRight w:val="0"/>
          <w:marTop w:val="0"/>
          <w:marBottom w:val="600"/>
          <w:divBdr>
            <w:top w:val="none" w:sz="0" w:space="0" w:color="auto"/>
            <w:left w:val="none" w:sz="0" w:space="0" w:color="auto"/>
            <w:bottom w:val="none" w:sz="0" w:space="0" w:color="auto"/>
            <w:right w:val="none" w:sz="0" w:space="0" w:color="auto"/>
          </w:divBdr>
          <w:divsChild>
            <w:div w:id="594628194">
              <w:marLeft w:val="0"/>
              <w:marRight w:val="0"/>
              <w:marTop w:val="0"/>
              <w:marBottom w:val="0"/>
              <w:divBdr>
                <w:top w:val="none" w:sz="0" w:space="0" w:color="auto"/>
                <w:left w:val="none" w:sz="0" w:space="0" w:color="auto"/>
                <w:bottom w:val="none" w:sz="0" w:space="0" w:color="auto"/>
                <w:right w:val="none" w:sz="0" w:space="0" w:color="auto"/>
              </w:divBdr>
              <w:divsChild>
                <w:div w:id="162861248">
                  <w:marLeft w:val="0"/>
                  <w:marRight w:val="0"/>
                  <w:marTop w:val="0"/>
                  <w:marBottom w:val="0"/>
                  <w:divBdr>
                    <w:top w:val="none" w:sz="0" w:space="0" w:color="auto"/>
                    <w:left w:val="none" w:sz="0" w:space="0" w:color="auto"/>
                    <w:bottom w:val="none" w:sz="0" w:space="0" w:color="auto"/>
                    <w:right w:val="none" w:sz="0" w:space="0" w:color="auto"/>
                  </w:divBdr>
                  <w:divsChild>
                    <w:div w:id="851188086">
                      <w:marLeft w:val="0"/>
                      <w:marRight w:val="0"/>
                      <w:marTop w:val="0"/>
                      <w:marBottom w:val="600"/>
                      <w:divBdr>
                        <w:top w:val="none" w:sz="0" w:space="0" w:color="auto"/>
                        <w:left w:val="none" w:sz="0" w:space="0" w:color="auto"/>
                        <w:bottom w:val="none" w:sz="0" w:space="0" w:color="auto"/>
                        <w:right w:val="none" w:sz="0" w:space="0" w:color="auto"/>
                      </w:divBdr>
                      <w:divsChild>
                        <w:div w:id="2041347552">
                          <w:marLeft w:val="0"/>
                          <w:marRight w:val="0"/>
                          <w:marTop w:val="0"/>
                          <w:marBottom w:val="0"/>
                          <w:divBdr>
                            <w:top w:val="none" w:sz="0" w:space="0" w:color="auto"/>
                            <w:left w:val="none" w:sz="0" w:space="0" w:color="auto"/>
                            <w:bottom w:val="none" w:sz="0" w:space="0" w:color="auto"/>
                            <w:right w:val="none" w:sz="0" w:space="0" w:color="auto"/>
                          </w:divBdr>
                          <w:divsChild>
                            <w:div w:id="920915409">
                              <w:marLeft w:val="0"/>
                              <w:marRight w:val="0"/>
                              <w:marTop w:val="225"/>
                              <w:marBottom w:val="0"/>
                              <w:divBdr>
                                <w:top w:val="none" w:sz="0" w:space="0" w:color="auto"/>
                                <w:left w:val="none" w:sz="0" w:space="0" w:color="auto"/>
                                <w:bottom w:val="none" w:sz="0" w:space="0" w:color="auto"/>
                                <w:right w:val="none" w:sz="0" w:space="0" w:color="auto"/>
                              </w:divBdr>
                              <w:divsChild>
                                <w:div w:id="674114065">
                                  <w:marLeft w:val="0"/>
                                  <w:marRight w:val="0"/>
                                  <w:marTop w:val="0"/>
                                  <w:marBottom w:val="225"/>
                                  <w:divBdr>
                                    <w:top w:val="none" w:sz="0" w:space="0" w:color="auto"/>
                                    <w:left w:val="none" w:sz="0" w:space="0" w:color="auto"/>
                                    <w:bottom w:val="none" w:sz="0" w:space="0" w:color="auto"/>
                                    <w:right w:val="none" w:sz="0" w:space="0" w:color="auto"/>
                                  </w:divBdr>
                                </w:div>
                                <w:div w:id="1957784807">
                                  <w:marLeft w:val="0"/>
                                  <w:marRight w:val="0"/>
                                  <w:marTop w:val="0"/>
                                  <w:marBottom w:val="225"/>
                                  <w:divBdr>
                                    <w:top w:val="none" w:sz="0" w:space="0" w:color="auto"/>
                                    <w:left w:val="none" w:sz="0" w:space="0" w:color="auto"/>
                                    <w:bottom w:val="none" w:sz="0" w:space="0" w:color="auto"/>
                                    <w:right w:val="none" w:sz="0" w:space="0" w:color="auto"/>
                                  </w:divBdr>
                                </w:div>
                                <w:div w:id="321473152">
                                  <w:marLeft w:val="0"/>
                                  <w:marRight w:val="0"/>
                                  <w:marTop w:val="0"/>
                                  <w:marBottom w:val="225"/>
                                  <w:divBdr>
                                    <w:top w:val="none" w:sz="0" w:space="0" w:color="auto"/>
                                    <w:left w:val="none" w:sz="0" w:space="0" w:color="auto"/>
                                    <w:bottom w:val="none" w:sz="0" w:space="0" w:color="auto"/>
                                    <w:right w:val="none" w:sz="0" w:space="0" w:color="auto"/>
                                  </w:divBdr>
                                </w:div>
                              </w:divsChild>
                            </w:div>
                            <w:div w:id="4998514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16350604">
                      <w:marLeft w:val="0"/>
                      <w:marRight w:val="0"/>
                      <w:marTop w:val="375"/>
                      <w:marBottom w:val="375"/>
                      <w:divBdr>
                        <w:top w:val="none" w:sz="0" w:space="0" w:color="auto"/>
                        <w:left w:val="none" w:sz="0" w:space="0" w:color="auto"/>
                        <w:bottom w:val="none" w:sz="0" w:space="0" w:color="auto"/>
                        <w:right w:val="none" w:sz="0" w:space="0" w:color="auto"/>
                      </w:divBdr>
                    </w:div>
                    <w:div w:id="1292054555">
                      <w:marLeft w:val="0"/>
                      <w:marRight w:val="0"/>
                      <w:marTop w:val="0"/>
                      <w:marBottom w:val="375"/>
                      <w:divBdr>
                        <w:top w:val="none" w:sz="0" w:space="0" w:color="auto"/>
                        <w:left w:val="none" w:sz="0" w:space="0" w:color="auto"/>
                        <w:bottom w:val="none" w:sz="0" w:space="0" w:color="auto"/>
                        <w:right w:val="none" w:sz="0" w:space="0" w:color="auto"/>
                      </w:divBdr>
                      <w:divsChild>
                        <w:div w:id="14578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rvf.com/sauternes,800089.asp" TargetMode="External"/><Relationship Id="rId3" Type="http://schemas.openxmlformats.org/officeDocument/2006/relationships/settings" Target="settings.xml"/><Relationship Id="rId7" Type="http://schemas.openxmlformats.org/officeDocument/2006/relationships/hyperlink" Target="https://www.larvf.com/,chateau-la-tour-blanche,10506,400308.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rvf.com/,vins-rouge-blanc-rose-vignoble-vallee-de-la-loire-muscadet-saumur-sancerre,10355,4025942.asp"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arvf.com/en-anjou-mark-angeli-prone-le-modele-bourguignon,4608145.asp" TargetMode="External"/><Relationship Id="rId4" Type="http://schemas.openxmlformats.org/officeDocument/2006/relationships/webSettings" Target="webSettings.xml"/><Relationship Id="rId9" Type="http://schemas.openxmlformats.org/officeDocument/2006/relationships/hyperlink" Target="https://www.larvf.com/mark-angeli-ajouter-du-soufre-dans-un-vin-c-est-une-defaite,4701843.as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804</Words>
  <Characters>4424</Characters>
  <Application>Microsoft Office Word</Application>
  <DocSecurity>0</DocSecurity>
  <Lines>36</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Tjitske Brouwer - Vinoblesse</dc:creator>
  <cp:keywords/>
  <dc:description/>
  <cp:lastModifiedBy>Tjitske Brouwer - Vinoblesse</cp:lastModifiedBy>
  <cp:revision>1</cp:revision>
  <dcterms:created xsi:type="dcterms:W3CDTF">2023-11-15T12:37:00Z</dcterms:created>
  <dcterms:modified xsi:type="dcterms:W3CDTF">2023-11-15T12:39:00Z</dcterms:modified>
</cp:coreProperties>
</file>